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0666" w:rsidRDefault="005F0FA9" w:rsidP="00DF6D6B">
      <w:pPr>
        <w:jc w:val="center"/>
        <w:rPr>
          <w:b/>
          <w:sz w:val="32"/>
          <w:szCs w:val="32"/>
        </w:rPr>
      </w:pPr>
      <w:bookmarkStart w:id="0" w:name="_GoBack"/>
      <w:bookmarkEnd w:id="0"/>
      <w:r>
        <w:rPr>
          <w:b/>
          <w:sz w:val="32"/>
          <w:szCs w:val="32"/>
        </w:rPr>
        <w:t>October</w:t>
      </w:r>
      <w:r w:rsidR="00610666">
        <w:rPr>
          <w:b/>
          <w:sz w:val="32"/>
          <w:szCs w:val="32"/>
        </w:rPr>
        <w:t xml:space="preserve"> 2015 </w:t>
      </w:r>
      <w:r w:rsidR="00DF6D6B" w:rsidRPr="00DF6D6B">
        <w:rPr>
          <w:b/>
          <w:sz w:val="32"/>
          <w:szCs w:val="32"/>
        </w:rPr>
        <w:t>Semi-</w:t>
      </w:r>
      <w:r w:rsidR="00B05D81">
        <w:rPr>
          <w:b/>
          <w:sz w:val="32"/>
          <w:szCs w:val="32"/>
        </w:rPr>
        <w:t>A</w:t>
      </w:r>
      <w:r w:rsidR="00DF6D6B" w:rsidRPr="00DF6D6B">
        <w:rPr>
          <w:b/>
          <w:sz w:val="32"/>
          <w:szCs w:val="32"/>
        </w:rPr>
        <w:t xml:space="preserve">nnual </w:t>
      </w:r>
      <w:r w:rsidR="00B05D81">
        <w:rPr>
          <w:b/>
          <w:sz w:val="32"/>
          <w:szCs w:val="32"/>
        </w:rPr>
        <w:t xml:space="preserve">Natural </w:t>
      </w:r>
      <w:r w:rsidR="00DF6D6B" w:rsidRPr="00DF6D6B">
        <w:rPr>
          <w:b/>
          <w:sz w:val="32"/>
          <w:szCs w:val="32"/>
        </w:rPr>
        <w:t xml:space="preserve">Gas Status Report:  </w:t>
      </w:r>
    </w:p>
    <w:p w:rsidR="00DF6D6B" w:rsidRPr="00DF6D6B" w:rsidRDefault="00D1519F" w:rsidP="00DF6D6B">
      <w:pPr>
        <w:jc w:val="center"/>
        <w:rPr>
          <w:b/>
          <w:sz w:val="32"/>
          <w:szCs w:val="32"/>
        </w:rPr>
      </w:pPr>
      <w:r>
        <w:rPr>
          <w:b/>
          <w:sz w:val="32"/>
          <w:szCs w:val="32"/>
        </w:rPr>
        <w:t>Plant Gaston and Plant Yate</w:t>
      </w:r>
      <w:r w:rsidR="001C630F">
        <w:rPr>
          <w:b/>
          <w:sz w:val="32"/>
          <w:szCs w:val="32"/>
        </w:rPr>
        <w:t>s</w:t>
      </w:r>
    </w:p>
    <w:p w:rsidR="00DF6D6B" w:rsidRDefault="00DF6D6B" w:rsidP="0097044D"/>
    <w:p w:rsidR="00CA71CC" w:rsidRDefault="00CA71CC" w:rsidP="004F2164">
      <w:pPr>
        <w:jc w:val="both"/>
      </w:pPr>
      <w:r w:rsidRPr="0042710E">
        <w:t>This report is provided in accordance with the Georgia Public Service Commission’s (“Commission”) Final Order in the 2013 Integrated Resource Plan (“IRP”) proceeding in Docket No. 36498</w:t>
      </w:r>
      <w:r>
        <w:t>.  The Commission’s Final Order</w:t>
      </w:r>
      <w:r w:rsidRPr="0042710E">
        <w:t xml:space="preserve"> require</w:t>
      </w:r>
      <w:r>
        <w:t>s</w:t>
      </w:r>
      <w:r w:rsidRPr="0042710E">
        <w:t xml:space="preserve"> Georgia Power Company (“Georgia Power” or the “Company”) to provide </w:t>
      </w:r>
      <w:r>
        <w:t xml:space="preserve">semi-annual updates on the status of the natural gas delivery outlook and fuel supply plans for Plant Gaston Units 1-4 and Plant Yates Units 6 and 7.  </w:t>
      </w:r>
    </w:p>
    <w:p w:rsidR="00CA71CC" w:rsidRDefault="00CA71CC" w:rsidP="004F2164">
      <w:pPr>
        <w:jc w:val="both"/>
      </w:pPr>
    </w:p>
    <w:p w:rsidR="0007420D" w:rsidRDefault="00677F13" w:rsidP="00980668">
      <w:pPr>
        <w:jc w:val="both"/>
      </w:pPr>
      <w:r>
        <w:t xml:space="preserve">The pipeline transportation plan for Plant Yates and Plant Gaston </w:t>
      </w:r>
      <w:r w:rsidR="002E5675">
        <w:t xml:space="preserve">was </w:t>
      </w:r>
      <w:r>
        <w:t>to secure summertime Firm Transportation (“FT”) in the capacity release market on a year to year basis</w:t>
      </w:r>
      <w:r w:rsidR="002E5675">
        <w:t xml:space="preserve">, while </w:t>
      </w:r>
      <w:r>
        <w:t>also monitor</w:t>
      </w:r>
      <w:r w:rsidR="002E5675">
        <w:t>ing</w:t>
      </w:r>
      <w:r>
        <w:t xml:space="preserve"> the market for oppor</w:t>
      </w:r>
      <w:r w:rsidR="001B0552">
        <w:t>tunities to secure year round firm coverage</w:t>
      </w:r>
      <w:r>
        <w:t xml:space="preserve">.  </w:t>
      </w:r>
      <w:r w:rsidR="00D607F8">
        <w:t>As previously discussed</w:t>
      </w:r>
      <w:r w:rsidR="00CC1896">
        <w:t>,</w:t>
      </w:r>
      <w:r w:rsidR="00D607F8">
        <w:t xml:space="preserve"> </w:t>
      </w:r>
      <w:r w:rsidR="002E5675">
        <w:t>i</w:t>
      </w:r>
      <w:r>
        <w:t xml:space="preserve">n August 2014, the Company </w:t>
      </w:r>
      <w:r w:rsidR="00CC6E15">
        <w:t>entered into an agreement</w:t>
      </w:r>
      <w:r w:rsidR="001B0552">
        <w:t xml:space="preserve"> to procure year round firm delivered gas supply</w:t>
      </w:r>
      <w:r>
        <w:t xml:space="preserve"> for Plant Yates for a term of 15 year</w:t>
      </w:r>
      <w:r w:rsidR="006D768E">
        <w:t>s beginning September 1, 2017</w:t>
      </w:r>
      <w:r w:rsidR="007A5CA5">
        <w:t xml:space="preserve"> (“Agreement”)</w:t>
      </w:r>
      <w:r w:rsidR="006D768E">
        <w:t xml:space="preserve">, </w:t>
      </w:r>
      <w:r w:rsidR="001B0552">
        <w:t>which</w:t>
      </w:r>
      <w:r>
        <w:t xml:space="preserve"> coincide</w:t>
      </w:r>
      <w:r w:rsidR="001B0552">
        <w:t>s</w:t>
      </w:r>
      <w:r>
        <w:t xml:space="preserve"> with the completion of Transco’s Atla</w:t>
      </w:r>
      <w:r w:rsidR="001B0552">
        <w:t>ntic Sunrise Project</w:t>
      </w:r>
      <w:r>
        <w:t xml:space="preserve"> discussed in Section 3 of this report.  The year round capacity was procured at a cost that is consistent with what was assumed in the </w:t>
      </w:r>
      <w:r w:rsidR="00704DDC">
        <w:t xml:space="preserve">2013 </w:t>
      </w:r>
      <w:r>
        <w:t xml:space="preserve">IRP for summer only capacity.  </w:t>
      </w:r>
    </w:p>
    <w:p w:rsidR="0007420D" w:rsidRDefault="0007420D" w:rsidP="00980668">
      <w:pPr>
        <w:jc w:val="both"/>
      </w:pPr>
    </w:p>
    <w:p w:rsidR="000E28A1" w:rsidRDefault="00CD0E36" w:rsidP="00980668">
      <w:pPr>
        <w:jc w:val="both"/>
      </w:pPr>
      <w:r>
        <w:t xml:space="preserve">Subsequently, the </w:t>
      </w:r>
      <w:r w:rsidR="00980668">
        <w:t>Compan</w:t>
      </w:r>
      <w:r w:rsidR="003409AF">
        <w:t xml:space="preserve">y </w:t>
      </w:r>
      <w:r>
        <w:t>was able to negotiate conversion</w:t>
      </w:r>
      <w:r w:rsidR="005C2D13">
        <w:t xml:space="preserve"> </w:t>
      </w:r>
      <w:r>
        <w:t>of</w:t>
      </w:r>
      <w:r w:rsidR="00780622">
        <w:t xml:space="preserve"> the</w:t>
      </w:r>
      <w:r w:rsidR="003B1C97">
        <w:t xml:space="preserve"> </w:t>
      </w:r>
      <w:r w:rsidR="0007420D">
        <w:t xml:space="preserve">firm </w:t>
      </w:r>
      <w:r w:rsidR="003B1C97">
        <w:t>delivered supply</w:t>
      </w:r>
      <w:r w:rsidR="00780622">
        <w:t xml:space="preserve"> deal for Plant Yates </w:t>
      </w:r>
      <w:r w:rsidR="001873AF">
        <w:t>int</w:t>
      </w:r>
      <w:r w:rsidR="0018444B">
        <w:t xml:space="preserve">o a capacity release </w:t>
      </w:r>
      <w:r w:rsidR="00A30B86">
        <w:t>Asset Management Agreement (</w:t>
      </w:r>
      <w:r w:rsidR="00A86CD9">
        <w:t>“</w:t>
      </w:r>
      <w:r w:rsidR="0018444B">
        <w:t>AMA</w:t>
      </w:r>
      <w:r w:rsidR="00A86CD9">
        <w:t>”</w:t>
      </w:r>
      <w:r w:rsidR="00A30B86">
        <w:t>)</w:t>
      </w:r>
      <w:r>
        <w:t>, which</w:t>
      </w:r>
      <w:r w:rsidR="004C6625">
        <w:t xml:space="preserve"> arrangement</w:t>
      </w:r>
      <w:r>
        <w:t xml:space="preserve"> is described in more detail below.</w:t>
      </w:r>
      <w:r w:rsidR="006A5EFD">
        <w:t xml:space="preserve"> </w:t>
      </w:r>
      <w:r>
        <w:t xml:space="preserve"> As a result of this conversion, the Company will no longer </w:t>
      </w:r>
      <w:r w:rsidR="00E011FA">
        <w:t xml:space="preserve">need to procure released FT for </w:t>
      </w:r>
      <w:r>
        <w:t xml:space="preserve">Plant Yates </w:t>
      </w:r>
      <w:r w:rsidR="00CC1896">
        <w:t>or</w:t>
      </w:r>
      <w:r>
        <w:t xml:space="preserve"> </w:t>
      </w:r>
      <w:r w:rsidR="00E011FA">
        <w:t>Plant Gaston</w:t>
      </w:r>
      <w:r w:rsidR="007A5CA5">
        <w:t xml:space="preserve"> </w:t>
      </w:r>
      <w:r w:rsidR="004C6625">
        <w:t xml:space="preserve">during </w:t>
      </w:r>
      <w:r w:rsidR="007A5CA5">
        <w:t xml:space="preserve">the 15 year term of the </w:t>
      </w:r>
      <w:r w:rsidR="004C6625">
        <w:t>AMA (beginning September 1, 2017)</w:t>
      </w:r>
      <w:r w:rsidR="0018444B">
        <w:t xml:space="preserve">.  </w:t>
      </w:r>
    </w:p>
    <w:p w:rsidR="000E28A1" w:rsidRDefault="000E28A1" w:rsidP="00980668">
      <w:pPr>
        <w:jc w:val="both"/>
      </w:pPr>
    </w:p>
    <w:p w:rsidR="002E5675" w:rsidRDefault="0018444B" w:rsidP="00980668">
      <w:pPr>
        <w:jc w:val="both"/>
      </w:pPr>
      <w:r>
        <w:t>Under the AMA, the counterparty will release their</w:t>
      </w:r>
      <w:r w:rsidR="00A30B86">
        <w:t xml:space="preserve"> FT</w:t>
      </w:r>
      <w:r>
        <w:t xml:space="preserve"> capacity</w:t>
      </w:r>
      <w:r w:rsidR="00A30B86">
        <w:t xml:space="preserve"> and sell their</w:t>
      </w:r>
      <w:r w:rsidR="00780622">
        <w:t xml:space="preserve"> Marcellus area production</w:t>
      </w:r>
      <w:r w:rsidR="00A30B86">
        <w:t xml:space="preserve"> in a long term</w:t>
      </w:r>
      <w:r w:rsidR="00780622">
        <w:t xml:space="preserve"> gas supply deal</w:t>
      </w:r>
      <w:r>
        <w:t xml:space="preserve"> to the Company</w:t>
      </w:r>
      <w:r w:rsidR="006A5EFD">
        <w:t xml:space="preserve">—the Company </w:t>
      </w:r>
      <w:r w:rsidR="000E28A1">
        <w:t>essentially become</w:t>
      </w:r>
      <w:r w:rsidR="006A5EFD">
        <w:t>s</w:t>
      </w:r>
      <w:r w:rsidR="000E28A1">
        <w:t xml:space="preserve"> </w:t>
      </w:r>
      <w:r w:rsidR="00D607F8">
        <w:t xml:space="preserve">the </w:t>
      </w:r>
      <w:r w:rsidR="000E28A1">
        <w:t>FT capacity</w:t>
      </w:r>
      <w:r w:rsidR="00D607F8">
        <w:t xml:space="preserve"> holder</w:t>
      </w:r>
      <w:r w:rsidR="006A5EFD">
        <w:t>.  The Company will</w:t>
      </w:r>
      <w:r w:rsidR="000E28A1">
        <w:t xml:space="preserve"> be responsible for </w:t>
      </w:r>
      <w:r>
        <w:t>manag</w:t>
      </w:r>
      <w:r w:rsidR="000E28A1">
        <w:t>ing</w:t>
      </w:r>
      <w:r>
        <w:t xml:space="preserve"> the transportation and deliver</w:t>
      </w:r>
      <w:r w:rsidR="000E28A1">
        <w:t>y of</w:t>
      </w:r>
      <w:r>
        <w:t xml:space="preserve"> supply from the Marcellus </w:t>
      </w:r>
      <w:r w:rsidR="00780622">
        <w:t>region south-bound to Plant Yates</w:t>
      </w:r>
      <w:r w:rsidR="005320D7">
        <w:t>,</w:t>
      </w:r>
      <w:r w:rsidR="00780622">
        <w:t xml:space="preserve"> </w:t>
      </w:r>
      <w:r w:rsidR="000E28A1">
        <w:t xml:space="preserve">but </w:t>
      </w:r>
      <w:r w:rsidR="00BA6CE4">
        <w:t xml:space="preserve">the AMA </w:t>
      </w:r>
      <w:r w:rsidR="000E28A1">
        <w:t xml:space="preserve">also </w:t>
      </w:r>
      <w:r w:rsidR="00BA6CE4">
        <w:t>enable</w:t>
      </w:r>
      <w:r w:rsidR="006A5EFD">
        <w:t>s</w:t>
      </w:r>
      <w:r w:rsidR="00BA6CE4">
        <w:t xml:space="preserve"> the Company</w:t>
      </w:r>
      <w:r w:rsidR="000E28A1">
        <w:t xml:space="preserve"> to supply </w:t>
      </w:r>
      <w:r w:rsidR="00780622">
        <w:t>other plants</w:t>
      </w:r>
      <w:r>
        <w:t xml:space="preserve">.  </w:t>
      </w:r>
      <w:r w:rsidR="00780622">
        <w:t>Transco’s tariff allows for pipeline s</w:t>
      </w:r>
      <w:r>
        <w:t>egm</w:t>
      </w:r>
      <w:r w:rsidR="00780622">
        <w:t>entation</w:t>
      </w:r>
      <w:r w:rsidR="006A5EFD">
        <w:t xml:space="preserve">, which </w:t>
      </w:r>
      <w:r w:rsidR="000E28A1">
        <w:t>allow</w:t>
      </w:r>
      <w:r w:rsidR="006A5EFD">
        <w:t>s</w:t>
      </w:r>
      <w:r w:rsidR="000E28A1">
        <w:t xml:space="preserve"> the Company</w:t>
      </w:r>
      <w:r w:rsidR="00780622">
        <w:t xml:space="preserve"> </w:t>
      </w:r>
      <w:r>
        <w:t xml:space="preserve">to take supply north-bound to Plant Gaston.  </w:t>
      </w:r>
      <w:r w:rsidR="000E28A1">
        <w:t>Thus, t</w:t>
      </w:r>
      <w:r>
        <w:t xml:space="preserve">he AMA will </w:t>
      </w:r>
      <w:r w:rsidR="000E28A1">
        <w:t xml:space="preserve">effectively </w:t>
      </w:r>
      <w:r>
        <w:t>provide year round coverage for</w:t>
      </w:r>
      <w:r w:rsidR="00BA6CE4">
        <w:t xml:space="preserve"> Plant</w:t>
      </w:r>
      <w:r>
        <w:t xml:space="preserve"> Gaston</w:t>
      </w:r>
      <w:r w:rsidR="00BA6CE4">
        <w:t>,</w:t>
      </w:r>
      <w:r>
        <w:t xml:space="preserve"> with possible limitations on peak winter days when north-bound capacity is full.</w:t>
      </w:r>
      <w:r w:rsidR="003B1C97">
        <w:t xml:space="preserve">  </w:t>
      </w:r>
      <w:r w:rsidR="00A30B86">
        <w:t xml:space="preserve">The cost for year round coverage for Plant Gaston under the AMA is less than the estimated cost </w:t>
      </w:r>
      <w:r w:rsidR="00704DDC">
        <w:t xml:space="preserve">in the 2013 IRP </w:t>
      </w:r>
      <w:r w:rsidR="00A30B86">
        <w:t>for summer capacity release.</w:t>
      </w:r>
      <w:r w:rsidR="002029FF">
        <w:t xml:space="preserve">  </w:t>
      </w:r>
    </w:p>
    <w:p w:rsidR="002E5675" w:rsidRDefault="002E5675" w:rsidP="00980668">
      <w:pPr>
        <w:jc w:val="both"/>
      </w:pPr>
    </w:p>
    <w:p w:rsidR="003B1C97" w:rsidRDefault="006A265D" w:rsidP="00980668">
      <w:pPr>
        <w:jc w:val="both"/>
      </w:pPr>
      <w:r>
        <w:t>T</w:t>
      </w:r>
      <w:r w:rsidR="007B2F46">
        <w:t>he Company remains confident that</w:t>
      </w:r>
      <w:r>
        <w:t xml:space="preserve"> given the current market fundamental</w:t>
      </w:r>
      <w:r w:rsidR="00D607F8">
        <w:t>s</w:t>
      </w:r>
      <w:r>
        <w:t xml:space="preserve"> explained in this report,</w:t>
      </w:r>
      <w:r w:rsidR="007B2F46">
        <w:t xml:space="preserve"> it will be able to procure summertime FT in the capacity release market for Plant Gaston and for Plant Yates for the years it does not have year round FT procured</w:t>
      </w:r>
      <w:r>
        <w:t>.</w:t>
      </w:r>
      <w:r w:rsidR="007B2F46">
        <w:t xml:space="preserve"> </w:t>
      </w:r>
      <w:r>
        <w:t xml:space="preserve">  </w:t>
      </w:r>
      <w:r w:rsidR="00284FCE">
        <w:t>However</w:t>
      </w:r>
      <w:r>
        <w:t xml:space="preserve">, if the </w:t>
      </w:r>
      <w:r w:rsidR="007B2F46">
        <w:t xml:space="preserve">current market fundamentals </w:t>
      </w:r>
      <w:r>
        <w:t>were to change, the Company would explore other options</w:t>
      </w:r>
      <w:r w:rsidR="007B2F46">
        <w:t xml:space="preserve">.  </w:t>
      </w:r>
      <w:r w:rsidR="00582E33">
        <w:t xml:space="preserve">For example, </w:t>
      </w:r>
      <w:r>
        <w:t>if</w:t>
      </w:r>
      <w:r w:rsidR="0039550E">
        <w:t xml:space="preserve"> Transco summer capacity release rates </w:t>
      </w:r>
      <w:r w:rsidR="00582E33">
        <w:t>began</w:t>
      </w:r>
      <w:r w:rsidR="0039550E">
        <w:t xml:space="preserve"> to rise significantly</w:t>
      </w:r>
      <w:r w:rsidR="005320D7">
        <w:t>,</w:t>
      </w:r>
      <w:r w:rsidR="0046112D">
        <w:t xml:space="preserve"> or if production growth in the Marcellus/Utica begins to drop</w:t>
      </w:r>
      <w:r>
        <w:t xml:space="preserve">, </w:t>
      </w:r>
      <w:r w:rsidR="00156DD3">
        <w:t xml:space="preserve">the Company </w:t>
      </w:r>
      <w:r w:rsidR="0046112D">
        <w:t xml:space="preserve">could </w:t>
      </w:r>
      <w:r w:rsidR="007B2F46">
        <w:t>work with</w:t>
      </w:r>
      <w:r w:rsidR="00156DD3">
        <w:t xml:space="preserve"> Local Distribution Companies </w:t>
      </w:r>
      <w:r w:rsidR="005F7577">
        <w:t>(</w:t>
      </w:r>
      <w:r w:rsidR="00156DD3">
        <w:t>“LDCs”</w:t>
      </w:r>
      <w:r w:rsidR="005F7577">
        <w:t>)</w:t>
      </w:r>
      <w:r w:rsidR="00156DD3">
        <w:t xml:space="preserve"> or producers </w:t>
      </w:r>
      <w:r w:rsidR="0046112D">
        <w:t xml:space="preserve">to </w:t>
      </w:r>
      <w:r w:rsidR="00156DD3">
        <w:t xml:space="preserve">structure longer term deals.  </w:t>
      </w:r>
      <w:r w:rsidR="006525A6">
        <w:t>Alternatively, t</w:t>
      </w:r>
      <w:r w:rsidR="00122626">
        <w:t xml:space="preserve">he Company would consider multiple </w:t>
      </w:r>
      <w:r w:rsidR="00122626">
        <w:lastRenderedPageBreak/>
        <w:t xml:space="preserve">summer deals to lock up capacity </w:t>
      </w:r>
      <w:r w:rsidR="006525A6">
        <w:t xml:space="preserve">or </w:t>
      </w:r>
      <w:r w:rsidR="00122626">
        <w:t xml:space="preserve">would </w:t>
      </w:r>
      <w:r w:rsidR="00E82654">
        <w:t xml:space="preserve">consider subscribing to max rate summer released capacity obtained from holders of firm transportation.  </w:t>
      </w:r>
    </w:p>
    <w:p w:rsidR="004F1FAF" w:rsidRDefault="004F1FAF" w:rsidP="00E82654">
      <w:pPr>
        <w:pStyle w:val="ListParagraph"/>
        <w:ind w:left="1080"/>
        <w:jc w:val="both"/>
      </w:pPr>
    </w:p>
    <w:p w:rsidR="00F24FB2" w:rsidRDefault="003C54F1" w:rsidP="004F2164">
      <w:pPr>
        <w:jc w:val="both"/>
      </w:pPr>
      <w:r>
        <w:t xml:space="preserve">In summary, as of </w:t>
      </w:r>
      <w:r w:rsidR="006525A6">
        <w:t>September 1, 2017, the Company will</w:t>
      </w:r>
      <w:r w:rsidR="003D5A60">
        <w:t xml:space="preserve"> have firm</w:t>
      </w:r>
      <w:r w:rsidR="006525A6">
        <w:t xml:space="preserve"> gas supply for Plant Yat</w:t>
      </w:r>
      <w:r w:rsidR="003D5A60">
        <w:t xml:space="preserve">es and </w:t>
      </w:r>
      <w:r w:rsidR="006525A6">
        <w:t>Plant Gaston</w:t>
      </w:r>
      <w:r w:rsidR="009326D8">
        <w:t xml:space="preserve"> for the 15 year term of the Agreement</w:t>
      </w:r>
      <w:r w:rsidR="006525A6">
        <w:t xml:space="preserve">.  </w:t>
      </w:r>
      <w:r w:rsidR="00284FCE">
        <w:t>Furthermore, b</w:t>
      </w:r>
      <w:r w:rsidR="00CA71CC">
        <w:t>ased on its knowledge of the fundamentals of the market and its analysis of the impacts of shale gas development in the Northeast, t</w:t>
      </w:r>
      <w:r w:rsidR="00B13441">
        <w:t xml:space="preserve">he </w:t>
      </w:r>
      <w:r w:rsidR="00CA71CC">
        <w:t>C</w:t>
      </w:r>
      <w:r w:rsidR="00B13441">
        <w:t xml:space="preserve">ompany </w:t>
      </w:r>
      <w:r w:rsidR="003E7555">
        <w:t xml:space="preserve">is confident </w:t>
      </w:r>
      <w:r w:rsidR="009E3CED">
        <w:t xml:space="preserve">that </w:t>
      </w:r>
      <w:r w:rsidR="00B13441">
        <w:t xml:space="preserve">summertime capacity will be available at a </w:t>
      </w:r>
      <w:r w:rsidR="0060208B">
        <w:t xml:space="preserve">reasonable </w:t>
      </w:r>
      <w:r w:rsidR="00A5709C">
        <w:t>rate</w:t>
      </w:r>
      <w:r w:rsidR="006525A6">
        <w:t xml:space="preserve"> for the period of time until Septe</w:t>
      </w:r>
      <w:r w:rsidR="003D5A60">
        <w:t>mber 2017</w:t>
      </w:r>
      <w:r w:rsidR="00B13441">
        <w:t xml:space="preserve">.  Specifically, Marcellus Shale development will provide gas supply </w:t>
      </w:r>
      <w:r w:rsidR="00A5709C">
        <w:t xml:space="preserve">into </w:t>
      </w:r>
      <w:r w:rsidR="00B13441">
        <w:t xml:space="preserve">Transco’s </w:t>
      </w:r>
      <w:r w:rsidR="00A5709C">
        <w:t xml:space="preserve">pipeline </w:t>
      </w:r>
      <w:r w:rsidR="00B13441">
        <w:t xml:space="preserve">system that can </w:t>
      </w:r>
      <w:r w:rsidR="0060208B">
        <w:t xml:space="preserve">1) </w:t>
      </w:r>
      <w:r w:rsidR="00B07B3E">
        <w:t xml:space="preserve">be </w:t>
      </w:r>
      <w:r w:rsidR="00B13441">
        <w:t>back-hauled to the Southeast</w:t>
      </w:r>
      <w:r w:rsidR="00A5709C">
        <w:t xml:space="preserve">, </w:t>
      </w:r>
      <w:r w:rsidR="0060208B">
        <w:t xml:space="preserve">2) </w:t>
      </w:r>
      <w:r w:rsidR="00A5709C">
        <w:t xml:space="preserve">free up forward haul capacity </w:t>
      </w:r>
      <w:r w:rsidR="00B07B3E">
        <w:t xml:space="preserve">due to the fact </w:t>
      </w:r>
      <w:r w:rsidR="00A5709C">
        <w:t xml:space="preserve">that </w:t>
      </w:r>
      <w:r w:rsidR="00B07B3E">
        <w:t xml:space="preserve">such capacity </w:t>
      </w:r>
      <w:r w:rsidR="00A5709C">
        <w:t>w</w:t>
      </w:r>
      <w:r w:rsidR="00B07B3E">
        <w:t>ill not</w:t>
      </w:r>
      <w:r w:rsidR="00A5709C">
        <w:t xml:space="preserve"> be needed in the summertime to refill market area storage in the Northeast, and </w:t>
      </w:r>
      <w:r w:rsidR="0060208B">
        <w:t xml:space="preserve">3) </w:t>
      </w:r>
      <w:r w:rsidR="00A5709C">
        <w:t xml:space="preserve">support expansions that will move gas from the Northeast to the Southeast </w:t>
      </w:r>
      <w:r w:rsidR="0097044D">
        <w:t xml:space="preserve">as the </w:t>
      </w:r>
      <w:r w:rsidR="0060208B">
        <w:t>natural gas supply</w:t>
      </w:r>
      <w:r w:rsidR="0097044D">
        <w:t xml:space="preserve"> </w:t>
      </w:r>
      <w:r w:rsidR="00A5709C">
        <w:t>in the Northeast outpace</w:t>
      </w:r>
      <w:r w:rsidR="003E7555">
        <w:t>s</w:t>
      </w:r>
      <w:r w:rsidR="00A5709C">
        <w:t xml:space="preserve"> </w:t>
      </w:r>
      <w:r w:rsidR="0097044D">
        <w:t>demand</w:t>
      </w:r>
      <w:r w:rsidR="00A5709C">
        <w:t xml:space="preserve">.  </w:t>
      </w:r>
      <w:r w:rsidR="00B916B7">
        <w:t xml:space="preserve">The trends </w:t>
      </w:r>
      <w:r w:rsidR="00B07B3E">
        <w:t xml:space="preserve">that the Company has observed since the conclusion of the 2013 IRP </w:t>
      </w:r>
      <w:r w:rsidR="00B916B7">
        <w:t xml:space="preserve">continue to support this </w:t>
      </w:r>
      <w:r w:rsidR="00B07B3E">
        <w:t>view</w:t>
      </w:r>
      <w:r w:rsidR="00B916B7">
        <w:t>.</w:t>
      </w:r>
      <w:r w:rsidR="00F04BB8">
        <w:t xml:space="preserve">  </w:t>
      </w:r>
    </w:p>
    <w:p w:rsidR="008A1443" w:rsidRDefault="0011343F" w:rsidP="0060208B">
      <w:pPr>
        <w:rPr>
          <w:b/>
          <w:u w:val="single"/>
        </w:rPr>
      </w:pPr>
      <w:r>
        <w:rPr>
          <w:b/>
          <w:u w:val="single"/>
        </w:rPr>
        <w:br w:type="page"/>
      </w:r>
    </w:p>
    <w:p w:rsidR="0060208B" w:rsidRDefault="00C109D2" w:rsidP="0060208B">
      <w:pPr>
        <w:rPr>
          <w:b/>
          <w:u w:val="single"/>
        </w:rPr>
      </w:pPr>
      <w:r>
        <w:rPr>
          <w:b/>
          <w:u w:val="single"/>
        </w:rPr>
        <w:lastRenderedPageBreak/>
        <w:t xml:space="preserve">1.  Marcellus Shale </w:t>
      </w:r>
    </w:p>
    <w:p w:rsidR="00DF6D6B" w:rsidRDefault="00DF6D6B" w:rsidP="0060208B">
      <w:pPr>
        <w:rPr>
          <w:b/>
          <w:u w:val="single"/>
        </w:rPr>
      </w:pPr>
    </w:p>
    <w:p w:rsidR="00DF6D6B" w:rsidRDefault="00C109D2" w:rsidP="004F2164">
      <w:pPr>
        <w:jc w:val="both"/>
      </w:pPr>
      <w:r>
        <w:t>On average, the natural gas monthly production rate in the Marcellus Shale has remained unchanged during 2015.  According to EIA, Marcellus production in 2015 has totaled nearly 16.5 Bcf per day.  This represents a 17% increase in production from 2014 levels.</w:t>
      </w:r>
    </w:p>
    <w:p w:rsidR="00F24FB2" w:rsidRDefault="00F24FB2" w:rsidP="0060208B"/>
    <w:p w:rsidR="00DF6D6B" w:rsidRDefault="002921AA" w:rsidP="0060208B">
      <w:pPr>
        <w:rPr>
          <w:b/>
        </w:rPr>
      </w:pPr>
      <w:r>
        <w:rPr>
          <w:b/>
          <w:noProof/>
        </w:rPr>
        <w:drawing>
          <wp:inline distT="0" distB="0" distL="0" distR="0" wp14:anchorId="74195F6D" wp14:editId="0C6EDECC">
            <wp:extent cx="5486400" cy="3917852"/>
            <wp:effectExtent l="19050" t="19050" r="19050" b="26035"/>
            <wp:docPr id="4" name="Picture 4" descr="\\ALXAPFS01\TDLAW$\Desktop\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XAPFS01\TDLAW$\Desktop\untitled.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86400" cy="3917852"/>
                    </a:xfrm>
                    <a:prstGeom prst="rect">
                      <a:avLst/>
                    </a:prstGeom>
                    <a:noFill/>
                    <a:ln w="19050">
                      <a:solidFill>
                        <a:schemeClr val="tx1"/>
                      </a:solidFill>
                    </a:ln>
                  </pic:spPr>
                </pic:pic>
              </a:graphicData>
            </a:graphic>
          </wp:inline>
        </w:drawing>
      </w:r>
    </w:p>
    <w:p w:rsidR="00C109D2" w:rsidRDefault="00C109D2" w:rsidP="004F2164">
      <w:pPr>
        <w:jc w:val="both"/>
      </w:pPr>
    </w:p>
    <w:p w:rsidR="00150DCC" w:rsidRDefault="00150DCC" w:rsidP="004F2164">
      <w:pPr>
        <w:jc w:val="both"/>
      </w:pPr>
    </w:p>
    <w:p w:rsidR="00C109D2" w:rsidRDefault="00C109D2" w:rsidP="004F2164">
      <w:pPr>
        <w:jc w:val="both"/>
      </w:pPr>
    </w:p>
    <w:p w:rsidR="00150DCC" w:rsidRDefault="00150DCC" w:rsidP="004F2164">
      <w:pPr>
        <w:jc w:val="both"/>
      </w:pPr>
    </w:p>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150DCC" w:rsidRDefault="00150DCC" w:rsidP="0060208B"/>
    <w:p w:rsidR="007E60A1" w:rsidRDefault="007E60A1">
      <w:r>
        <w:br w:type="page"/>
      </w:r>
    </w:p>
    <w:p w:rsidR="00C33603" w:rsidRDefault="00FD6868" w:rsidP="004F2164">
      <w:pPr>
        <w:jc w:val="both"/>
      </w:pPr>
      <w:r>
        <w:lastRenderedPageBreak/>
        <w:t xml:space="preserve">Marcellus production accounts for almost 40% of total U.S. shale production. </w:t>
      </w:r>
    </w:p>
    <w:p w:rsidR="00150DCC" w:rsidRDefault="00150DCC" w:rsidP="004F2164">
      <w:pPr>
        <w:jc w:val="both"/>
      </w:pPr>
    </w:p>
    <w:p w:rsidR="00150DCC" w:rsidRDefault="00EB729D" w:rsidP="0060208B">
      <w:r>
        <w:rPr>
          <w:noProof/>
        </w:rPr>
        <w:drawing>
          <wp:inline distT="0" distB="0" distL="0" distR="0" wp14:anchorId="1465F7E0" wp14:editId="26E315F5">
            <wp:extent cx="5503653" cy="5581291"/>
            <wp:effectExtent l="19050" t="19050" r="20955"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3629" cy="5581266"/>
                    </a:xfrm>
                    <a:prstGeom prst="rect">
                      <a:avLst/>
                    </a:prstGeom>
                    <a:noFill/>
                    <a:ln w="12700">
                      <a:solidFill>
                        <a:schemeClr val="tx1"/>
                      </a:solidFill>
                    </a:ln>
                  </pic:spPr>
                </pic:pic>
              </a:graphicData>
            </a:graphic>
          </wp:inline>
        </w:drawing>
      </w:r>
    </w:p>
    <w:p w:rsidR="00150DCC" w:rsidRDefault="00CA403B" w:rsidP="0060208B">
      <w:r>
        <w:rPr>
          <w:noProof/>
        </w:rPr>
        <w:drawing>
          <wp:inline distT="0" distB="0" distL="0" distR="0" wp14:anchorId="70CE19B7" wp14:editId="2DBD66C9">
            <wp:extent cx="5529532" cy="40544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8224" cy="408279"/>
                    </a:xfrm>
                    <a:prstGeom prst="rect">
                      <a:avLst/>
                    </a:prstGeom>
                    <a:noFill/>
                    <a:ln>
                      <a:noFill/>
                    </a:ln>
                  </pic:spPr>
                </pic:pic>
              </a:graphicData>
            </a:graphic>
          </wp:inline>
        </w:drawing>
      </w:r>
    </w:p>
    <w:p w:rsidR="00B91D48" w:rsidRDefault="00B91D48" w:rsidP="0060208B">
      <w:pPr>
        <w:rPr>
          <w:noProof/>
        </w:rPr>
      </w:pPr>
    </w:p>
    <w:p w:rsidR="00DF6D6B" w:rsidRDefault="00DF6D6B" w:rsidP="004F2164">
      <w:pPr>
        <w:jc w:val="both"/>
      </w:pPr>
      <w:r>
        <w:t>The Transco system, which will be used to supply gas to Plant Yates and Plant Gaston, accesses the Marcellus Shale in northeastern Pennsylvania</w:t>
      </w:r>
      <w:r w:rsidR="00030A9A">
        <w:t xml:space="preserve"> on the portion of its system called the Leidy Line</w:t>
      </w:r>
      <w:r>
        <w:t>.</w:t>
      </w:r>
      <w:r w:rsidR="00DF0814">
        <w:t xml:space="preserve">  </w:t>
      </w:r>
      <w:r w:rsidR="00B20562">
        <w:t xml:space="preserve">As shown above, </w:t>
      </w:r>
      <w:r w:rsidR="00DF0814">
        <w:t>Marcellus Shale gas producti</w:t>
      </w:r>
      <w:r w:rsidR="008A1443">
        <w:t>on has been steadily on the rise.  The Transco system has receipt point access of 5 Bcf/day in the Marcel</w:t>
      </w:r>
      <w:r w:rsidR="00CA403B">
        <w:t>lus region.  This compares to 16.5</w:t>
      </w:r>
      <w:r w:rsidR="008A1443">
        <w:t xml:space="preserve"> Bcf/day of Marcellus </w:t>
      </w:r>
      <w:r w:rsidR="000068E6">
        <w:t>production</w:t>
      </w:r>
      <w:r w:rsidR="008A1443">
        <w:t>.</w:t>
      </w:r>
    </w:p>
    <w:p w:rsidR="00DF0814" w:rsidRDefault="00DF0814" w:rsidP="004F2164">
      <w:pPr>
        <w:jc w:val="both"/>
      </w:pPr>
    </w:p>
    <w:p w:rsidR="00DF0814" w:rsidRDefault="00DF0814" w:rsidP="004F2164">
      <w:pPr>
        <w:jc w:val="both"/>
      </w:pPr>
    </w:p>
    <w:p w:rsidR="005B3B82" w:rsidRDefault="005B3B82" w:rsidP="00030A9A">
      <w:pPr>
        <w:rPr>
          <w:b/>
          <w:u w:val="single"/>
        </w:rPr>
      </w:pPr>
    </w:p>
    <w:p w:rsidR="00343C69" w:rsidRDefault="00343C69">
      <w:pPr>
        <w:rPr>
          <w:b/>
          <w:u w:val="single"/>
        </w:rPr>
      </w:pPr>
      <w:r>
        <w:rPr>
          <w:b/>
          <w:u w:val="single"/>
        </w:rPr>
        <w:br w:type="page"/>
      </w:r>
    </w:p>
    <w:p w:rsidR="00030A9A" w:rsidRDefault="00030A9A" w:rsidP="00030A9A">
      <w:pPr>
        <w:rPr>
          <w:b/>
          <w:u w:val="single"/>
        </w:rPr>
      </w:pPr>
      <w:r>
        <w:rPr>
          <w:b/>
          <w:u w:val="single"/>
        </w:rPr>
        <w:lastRenderedPageBreak/>
        <w:t>2</w:t>
      </w:r>
      <w:r w:rsidRPr="0060208B">
        <w:rPr>
          <w:b/>
          <w:u w:val="single"/>
        </w:rPr>
        <w:t xml:space="preserve">. </w:t>
      </w:r>
      <w:r>
        <w:rPr>
          <w:b/>
          <w:u w:val="single"/>
        </w:rPr>
        <w:t xml:space="preserve"> Transco Capacity Release Rates</w:t>
      </w:r>
    </w:p>
    <w:p w:rsidR="0060208B" w:rsidRPr="0060208B" w:rsidRDefault="0060208B" w:rsidP="0060208B">
      <w:pPr>
        <w:rPr>
          <w:b/>
        </w:rPr>
      </w:pPr>
    </w:p>
    <w:p w:rsidR="00030A9A" w:rsidRDefault="00030A9A" w:rsidP="004F2164">
      <w:pPr>
        <w:jc w:val="both"/>
      </w:pPr>
      <w:r>
        <w:t>Southern Company Services procures summertime released capacity on the Transco system in Alabama and Georgia (Transco Zone 4).  The capacity release rates shown in the chart below reflect the</w:t>
      </w:r>
      <w:r w:rsidR="00DA4A10">
        <w:t xml:space="preserve"> downward</w:t>
      </w:r>
      <w:r>
        <w:t xml:space="preserve"> impact that additional capacity on Transco is having on the rates.  </w:t>
      </w:r>
    </w:p>
    <w:p w:rsidR="00FD6868" w:rsidRDefault="00FD6868" w:rsidP="0097044D"/>
    <w:p w:rsidR="00DE6A30" w:rsidRDefault="006F2B8D" w:rsidP="0097044D">
      <w:r>
        <w:rPr>
          <w:noProof/>
        </w:rPr>
        <w:drawing>
          <wp:inline distT="0" distB="0" distL="0" distR="0" wp14:anchorId="16AAC868" wp14:editId="30D6FEAC">
            <wp:extent cx="5458691" cy="3927764"/>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9890" cy="3928627"/>
                    </a:xfrm>
                    <a:prstGeom prst="rect">
                      <a:avLst/>
                    </a:prstGeom>
                    <a:noFill/>
                  </pic:spPr>
                </pic:pic>
              </a:graphicData>
            </a:graphic>
          </wp:inline>
        </w:drawing>
      </w:r>
    </w:p>
    <w:p w:rsidR="00AA462D" w:rsidRDefault="00AA462D" w:rsidP="0097044D"/>
    <w:p w:rsidR="00AA462D" w:rsidRDefault="00AA462D" w:rsidP="0097044D">
      <w:r>
        <w:t>The 2015 rate</w:t>
      </w:r>
      <w:r w:rsidR="004F1756">
        <w:t xml:space="preserve"> reflects 2</w:t>
      </w:r>
      <w:r w:rsidR="00317F20">
        <w:t>0</w:t>
      </w:r>
      <w:r w:rsidR="00DA4A10">
        <w:t>0,000 MMBtu/day of re</w:t>
      </w:r>
      <w:r w:rsidR="0073769C">
        <w:t xml:space="preserve">leased capacity the Company </w:t>
      </w:r>
      <w:r w:rsidR="00DA4A10">
        <w:t>secured for the summer of 2015</w:t>
      </w:r>
      <w:r>
        <w:t xml:space="preserve">.  </w:t>
      </w:r>
    </w:p>
    <w:p w:rsidR="005F2430" w:rsidRDefault="005F2430" w:rsidP="0097044D"/>
    <w:p w:rsidR="00DE6A30" w:rsidRDefault="00DE6A30" w:rsidP="0097044D"/>
    <w:p w:rsidR="00343C69" w:rsidRDefault="00343C69">
      <w:pPr>
        <w:rPr>
          <w:b/>
          <w:u w:val="single"/>
        </w:rPr>
      </w:pPr>
      <w:r>
        <w:rPr>
          <w:b/>
          <w:u w:val="single"/>
        </w:rPr>
        <w:br w:type="page"/>
      </w:r>
    </w:p>
    <w:p w:rsidR="00A32787" w:rsidRPr="00A32787" w:rsidRDefault="00030A9A" w:rsidP="00EF0702">
      <w:pPr>
        <w:rPr>
          <w:b/>
          <w:u w:val="single"/>
        </w:rPr>
      </w:pPr>
      <w:r>
        <w:rPr>
          <w:b/>
          <w:u w:val="single"/>
        </w:rPr>
        <w:lastRenderedPageBreak/>
        <w:t>3</w:t>
      </w:r>
      <w:r w:rsidRPr="0060208B">
        <w:rPr>
          <w:b/>
          <w:u w:val="single"/>
        </w:rPr>
        <w:t xml:space="preserve">. </w:t>
      </w:r>
      <w:r>
        <w:rPr>
          <w:b/>
          <w:u w:val="single"/>
        </w:rPr>
        <w:t xml:space="preserve"> </w:t>
      </w:r>
      <w:r w:rsidR="008A1443">
        <w:rPr>
          <w:b/>
          <w:u w:val="single"/>
        </w:rPr>
        <w:t xml:space="preserve">Transco </w:t>
      </w:r>
      <w:r>
        <w:rPr>
          <w:b/>
          <w:u w:val="single"/>
        </w:rPr>
        <w:t xml:space="preserve">Pipeline </w:t>
      </w:r>
      <w:r w:rsidR="00B91D48">
        <w:rPr>
          <w:b/>
          <w:u w:val="single"/>
        </w:rPr>
        <w:t>De</w:t>
      </w:r>
      <w:r>
        <w:rPr>
          <w:b/>
          <w:u w:val="single"/>
        </w:rPr>
        <w:t>velopment from the Marcellus</w:t>
      </w:r>
      <w:r w:rsidR="0048133F">
        <w:rPr>
          <w:b/>
          <w:u w:val="single"/>
        </w:rPr>
        <w:t xml:space="preserve"> Shale</w:t>
      </w:r>
    </w:p>
    <w:p w:rsidR="00A32787" w:rsidRDefault="00A32787" w:rsidP="00EF0702"/>
    <w:p w:rsidR="00EF0702" w:rsidRDefault="00DA4A10" w:rsidP="004F2164">
      <w:pPr>
        <w:jc w:val="both"/>
      </w:pPr>
      <w:r>
        <w:t xml:space="preserve">Transco </w:t>
      </w:r>
      <w:r w:rsidR="0016611B">
        <w:t>announced an open season d</w:t>
      </w:r>
      <w:r w:rsidR="00A32787">
        <w:t>uring September 2014 for the</w:t>
      </w:r>
      <w:r w:rsidR="0016611B">
        <w:t xml:space="preserve"> Western Marcellus Pipeline Project.</w:t>
      </w:r>
      <w:r w:rsidR="000A7E08">
        <w:t xml:space="preserve">  Pipeline companies use the open season process to determine the level of market interest in a project.</w:t>
      </w:r>
      <w:r w:rsidR="0016611B">
        <w:t xml:space="preserve">  This project will provide from 1,000 MDth/d</w:t>
      </w:r>
      <w:r>
        <w:t xml:space="preserve"> (1 Bcf/day)</w:t>
      </w:r>
      <w:r w:rsidR="0016611B">
        <w:t xml:space="preserve"> to in excess of 2,000 MDth/d</w:t>
      </w:r>
      <w:r>
        <w:t xml:space="preserve"> (2 Bcf/day)</w:t>
      </w:r>
      <w:r w:rsidR="0016611B">
        <w:t xml:space="preserve"> of new, year-round firm transportation </w:t>
      </w:r>
      <w:r w:rsidR="00EF0702">
        <w:t xml:space="preserve">capacity by a proposed in-service date </w:t>
      </w:r>
      <w:r w:rsidR="00D84684">
        <w:t xml:space="preserve">of </w:t>
      </w:r>
      <w:r w:rsidR="00EF0702">
        <w:t>late 2018.  This project will</w:t>
      </w:r>
      <w:r w:rsidR="00EF0702">
        <w:rPr>
          <w:rFonts w:ascii="Verdana" w:hAnsi="Verdana"/>
          <w:sz w:val="18"/>
          <w:szCs w:val="18"/>
        </w:rPr>
        <w:t xml:space="preserve"> </w:t>
      </w:r>
      <w:r w:rsidR="00EF0702" w:rsidRPr="00EF0702">
        <w:t xml:space="preserve">provide incremental firm transportation capacity from the Western Marcellus and Utica supply areas to points as far downstream as Transco’s Station 65 Zone 3 Pool and </w:t>
      </w:r>
      <w:r w:rsidR="00927E01">
        <w:t xml:space="preserve">as far north as </w:t>
      </w:r>
      <w:r w:rsidR="00EF0702" w:rsidRPr="00EF0702">
        <w:t>the proposed Zone 6 River Road point in Lancaster County, Pennsylvania.</w:t>
      </w:r>
      <w:r w:rsidR="00EF0702">
        <w:t xml:space="preserve">  A map depicting the project path is shown below.</w:t>
      </w:r>
    </w:p>
    <w:p w:rsidR="00EF0702" w:rsidRDefault="00EF0702" w:rsidP="00EF0702"/>
    <w:p w:rsidR="00DE6A30" w:rsidRDefault="00EF0702" w:rsidP="00CC59E7">
      <w:r>
        <w:rPr>
          <w:noProof/>
        </w:rPr>
        <w:drawing>
          <wp:inline distT="0" distB="0" distL="0" distR="0" wp14:anchorId="3F6A033A" wp14:editId="610A9219">
            <wp:extent cx="5486400" cy="3998677"/>
            <wp:effectExtent l="19050" t="19050" r="19050" b="209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998677"/>
                    </a:xfrm>
                    <a:prstGeom prst="rect">
                      <a:avLst/>
                    </a:prstGeom>
                    <a:noFill/>
                    <a:ln w="12700">
                      <a:solidFill>
                        <a:schemeClr val="tx1"/>
                      </a:solidFill>
                    </a:ln>
                  </pic:spPr>
                </pic:pic>
              </a:graphicData>
            </a:graphic>
          </wp:inline>
        </w:drawing>
      </w:r>
    </w:p>
    <w:p w:rsidR="00A32787" w:rsidRDefault="00A32787" w:rsidP="00CC59E7"/>
    <w:p w:rsidR="00A32787" w:rsidRDefault="00A32787" w:rsidP="004F2164">
      <w:pPr>
        <w:jc w:val="both"/>
      </w:pPr>
      <w:r>
        <w:t>Transco has already sold out three new pipeline expansions to move gas from the Marcellus Shale to the Southeast.  The first is the Leidy Southeast Expansion.  The second is the Virginia Southside Expansion Project.  Both of these projects move gas south from the Marcellus Shale and have a proposed in-service date of 2015.  These two expansions</w:t>
      </w:r>
      <w:r w:rsidR="00B670AE">
        <w:t xml:space="preserve"> have a combined capacity of 795</w:t>
      </w:r>
      <w:r>
        <w:t xml:space="preserve"> MDth per day.  </w:t>
      </w:r>
    </w:p>
    <w:p w:rsidR="00A32787" w:rsidRDefault="00A32787" w:rsidP="004F2164">
      <w:pPr>
        <w:jc w:val="both"/>
      </w:pPr>
    </w:p>
    <w:p w:rsidR="00A32787" w:rsidRDefault="00A32787" w:rsidP="006D768E">
      <w:pPr>
        <w:jc w:val="both"/>
      </w:pPr>
      <w:r>
        <w:t xml:space="preserve">The third expansion is the Atlantic Sunrise Project. </w:t>
      </w:r>
      <w:r w:rsidRPr="003F4B6B">
        <w:t>The Atlantic Sunrise Project is an expansion of Transco’s Leidy Line to Mid-Atla</w:t>
      </w:r>
      <w:r w:rsidR="00DA4A10">
        <w:t>ntic and Southeastern Markets.  T</w:t>
      </w:r>
      <w:r w:rsidRPr="003F4B6B">
        <w:t xml:space="preserve">he </w:t>
      </w:r>
      <w:r>
        <w:t>p</w:t>
      </w:r>
      <w:r w:rsidRPr="003F4B6B">
        <w:t>roject is expected to go into servic</w:t>
      </w:r>
      <w:r>
        <w:t xml:space="preserve">e around September 2017.  </w:t>
      </w:r>
      <w:r w:rsidRPr="003F4B6B">
        <w:t xml:space="preserve">The </w:t>
      </w:r>
      <w:r>
        <w:t>p</w:t>
      </w:r>
      <w:r w:rsidRPr="003F4B6B">
        <w:t>roject’s capacity is listed at 1</w:t>
      </w:r>
      <w:r>
        <w:t>,</w:t>
      </w:r>
      <w:r w:rsidRPr="003F4B6B">
        <w:t>7</w:t>
      </w:r>
      <w:r>
        <w:t>00</w:t>
      </w:r>
      <w:r w:rsidRPr="003F4B6B">
        <w:t xml:space="preserve"> </w:t>
      </w:r>
      <w:r>
        <w:t>MDth</w:t>
      </w:r>
      <w:r w:rsidRPr="003F4B6B">
        <w:t>/day</w:t>
      </w:r>
      <w:r w:rsidR="006E5DDD">
        <w:t xml:space="preserve"> (1.7 Bcf/day)</w:t>
      </w:r>
      <w:r w:rsidRPr="003F4B6B">
        <w:t xml:space="preserve"> and the </w:t>
      </w:r>
      <w:r>
        <w:t>p</w:t>
      </w:r>
      <w:r w:rsidRPr="003F4B6B">
        <w:t xml:space="preserve">roject’s path extends from northern </w:t>
      </w:r>
      <w:r w:rsidRPr="003F4B6B">
        <w:lastRenderedPageBreak/>
        <w:t>Pennsylvania along Transco’s existing Leidy Line to markets in Transco’s Zone 6, Zone 5, and Zone 4.</w:t>
      </w:r>
      <w:r>
        <w:t xml:space="preserve">  </w:t>
      </w:r>
    </w:p>
    <w:p w:rsidR="00A32787" w:rsidRDefault="00A32787" w:rsidP="004F2164">
      <w:pPr>
        <w:jc w:val="both"/>
      </w:pPr>
    </w:p>
    <w:p w:rsidR="00A32787" w:rsidRDefault="00A32787" w:rsidP="00677F13">
      <w:pPr>
        <w:jc w:val="both"/>
      </w:pPr>
      <w:r>
        <w:t>The total capacity for the three expansion projects will</w:t>
      </w:r>
      <w:r w:rsidR="00B670AE">
        <w:t xml:space="preserve"> be 2,495</w:t>
      </w:r>
      <w:r>
        <w:t xml:space="preserve"> MDth/d</w:t>
      </w:r>
      <w:r w:rsidR="00B670AE">
        <w:t xml:space="preserve"> (2.495</w:t>
      </w:r>
      <w:r w:rsidR="006E5DDD">
        <w:t xml:space="preserve"> Bcf/day)</w:t>
      </w:r>
      <w:r>
        <w:t>.  All three of the expansion projects will add additional pipeline capacity in</w:t>
      </w:r>
      <w:r w:rsidR="006E5DDD">
        <w:t>to</w:t>
      </w:r>
      <w:r>
        <w:t xml:space="preserve"> the Southeast.</w:t>
      </w:r>
    </w:p>
    <w:p w:rsidR="00A32787" w:rsidRDefault="00A32787" w:rsidP="00CC59E7"/>
    <w:p w:rsidR="00366FCB" w:rsidRDefault="0073769C" w:rsidP="00CC59E7">
      <w:pPr>
        <w:rPr>
          <w:noProof/>
        </w:rPr>
      </w:pPr>
      <w:r>
        <w:rPr>
          <w:noProof/>
        </w:rPr>
        <w:drawing>
          <wp:inline distT="0" distB="0" distL="0" distR="0" wp14:anchorId="6D93B49A" wp14:editId="56846AE2">
            <wp:extent cx="5538159" cy="4278702"/>
            <wp:effectExtent l="19050" t="19050" r="24765" b="26670"/>
            <wp:docPr id="12" name="Picture 12" descr="\\ALXAPFS01\TDLAW$\Desktop\map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LXAPFS01\TDLAW$\Desktop\map3_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524" cy="4278984"/>
                    </a:xfrm>
                    <a:prstGeom prst="rect">
                      <a:avLst/>
                    </a:prstGeom>
                    <a:noFill/>
                    <a:ln w="12700">
                      <a:solidFill>
                        <a:schemeClr val="tx1"/>
                      </a:solidFill>
                    </a:ln>
                  </pic:spPr>
                </pic:pic>
              </a:graphicData>
            </a:graphic>
          </wp:inline>
        </w:drawing>
      </w:r>
      <w:r w:rsidRPr="0073769C">
        <w:rPr>
          <w:noProof/>
        </w:rPr>
        <w:t xml:space="preserve"> </w:t>
      </w:r>
    </w:p>
    <w:p w:rsidR="0073769C" w:rsidRDefault="0073769C" w:rsidP="00CC59E7"/>
    <w:p w:rsidR="00DB7BDB" w:rsidRDefault="0010021F" w:rsidP="00CC59E7">
      <w:r>
        <w:rPr>
          <w:noProof/>
        </w:rPr>
        <w:lastRenderedPageBreak/>
        <w:drawing>
          <wp:inline distT="0" distB="0" distL="0" distR="0" wp14:anchorId="3105525E" wp14:editId="3435BA10">
            <wp:extent cx="5486400" cy="3939540"/>
            <wp:effectExtent l="19050" t="19050" r="19050" b="2286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86400" cy="3939540"/>
                    </a:xfrm>
                    <a:prstGeom prst="rect">
                      <a:avLst/>
                    </a:prstGeom>
                    <a:ln w="12700">
                      <a:solidFill>
                        <a:sysClr val="windowText" lastClr="000000"/>
                      </a:solidFill>
                    </a:ln>
                  </pic:spPr>
                </pic:pic>
              </a:graphicData>
            </a:graphic>
          </wp:inline>
        </w:drawing>
      </w:r>
    </w:p>
    <w:p w:rsidR="0010021F" w:rsidRDefault="0010021F" w:rsidP="00CC59E7"/>
    <w:p w:rsidR="00DB7BDB" w:rsidRDefault="00437BB9" w:rsidP="00CC59E7">
      <w:r>
        <w:rPr>
          <w:noProof/>
        </w:rPr>
        <w:drawing>
          <wp:inline distT="0" distB="0" distL="0" distR="0" wp14:anchorId="0C2FD075" wp14:editId="215CC769">
            <wp:extent cx="5486400" cy="3875892"/>
            <wp:effectExtent l="19050" t="19050" r="19050"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6400" cy="3875892"/>
                    </a:xfrm>
                    <a:prstGeom prst="rect">
                      <a:avLst/>
                    </a:prstGeom>
                    <a:noFill/>
                    <a:ln w="12700">
                      <a:solidFill>
                        <a:schemeClr val="tx1"/>
                      </a:solidFill>
                    </a:ln>
                  </pic:spPr>
                </pic:pic>
              </a:graphicData>
            </a:graphic>
          </wp:inline>
        </w:drawing>
      </w:r>
    </w:p>
    <w:p w:rsidR="008A1443" w:rsidRDefault="008A1443" w:rsidP="004F2164">
      <w:pPr>
        <w:jc w:val="both"/>
      </w:pPr>
      <w:r w:rsidRPr="008A1443">
        <w:lastRenderedPageBreak/>
        <w:t>1.3 Bcf/d</w:t>
      </w:r>
      <w:r>
        <w:t>ay</w:t>
      </w:r>
      <w:r w:rsidRPr="008A1443">
        <w:t xml:space="preserve"> </w:t>
      </w:r>
      <w:r w:rsidR="00252160">
        <w:t>(</w:t>
      </w:r>
      <w:r w:rsidRPr="008A1443">
        <w:t>or 54% of the total of 2.4 Bcf/d</w:t>
      </w:r>
      <w:r>
        <w:t>ay</w:t>
      </w:r>
      <w:r w:rsidRPr="008A1443">
        <w:t xml:space="preserve"> of new capacity</w:t>
      </w:r>
      <w:r w:rsidR="00252160">
        <w:t>)</w:t>
      </w:r>
      <w:r w:rsidR="00B34E9B">
        <w:t xml:space="preserve"> can move from the Marcellus</w:t>
      </w:r>
      <w:r>
        <w:t xml:space="preserve"> to Plants Gaston and Yates.  Additionally, the capacity that previously flowed North (3.5 Bcf/day) will be available in the South.  Therefore, approximately 4.8 Bcf/day of capacity will be flowing past Plant Gaston and Plant Yates.</w:t>
      </w:r>
    </w:p>
    <w:p w:rsidR="008A1443" w:rsidRDefault="008A1443" w:rsidP="004F2164">
      <w:pPr>
        <w:jc w:val="both"/>
      </w:pPr>
    </w:p>
    <w:p w:rsidR="00DB7BDB" w:rsidRDefault="00DB7BDB" w:rsidP="004F2164">
      <w:pPr>
        <w:jc w:val="both"/>
        <w:rPr>
          <w:b/>
          <w:u w:val="single"/>
        </w:rPr>
      </w:pPr>
      <w:r>
        <w:rPr>
          <w:b/>
          <w:u w:val="single"/>
        </w:rPr>
        <w:t>Summary</w:t>
      </w:r>
    </w:p>
    <w:p w:rsidR="0060208B" w:rsidRDefault="0060208B" w:rsidP="004F2164">
      <w:pPr>
        <w:jc w:val="both"/>
      </w:pPr>
    </w:p>
    <w:p w:rsidR="00DB02CD" w:rsidRDefault="00677F13" w:rsidP="00677F13">
      <w:pPr>
        <w:jc w:val="both"/>
      </w:pPr>
      <w:r>
        <w:t>The Company was able to procure year round FT for Plant Yates with a deal scheduled to begin September 1, 2017 to coincide with completion of Transco’s Atlantic Sunrise Project</w:t>
      </w:r>
      <w:r w:rsidR="003D5A60">
        <w:t>.  The Company converted this deal into an</w:t>
      </w:r>
      <w:r w:rsidR="006525A6">
        <w:t xml:space="preserve"> AMA </w:t>
      </w:r>
      <w:r w:rsidR="003D5A60">
        <w:t>to</w:t>
      </w:r>
      <w:r w:rsidR="003409AF">
        <w:t xml:space="preserve"> also</w:t>
      </w:r>
      <w:r w:rsidR="003D5A60">
        <w:t xml:space="preserve"> secure </w:t>
      </w:r>
      <w:r w:rsidR="001477A1">
        <w:t>firm supply to Plant Gaston</w:t>
      </w:r>
      <w:r>
        <w:t>.</w:t>
      </w:r>
      <w:r w:rsidR="00DB02CD">
        <w:t xml:space="preserve">  </w:t>
      </w:r>
      <w:r w:rsidR="00CC1896">
        <w:t>Therefore, b</w:t>
      </w:r>
      <w:r w:rsidR="00DB02CD">
        <w:t>eginning in September 2017 and continuing for the 15 year term of the Agreement, summertime FT will not be needed at Plant Yates or Plant Gaston.</w:t>
      </w:r>
      <w:r>
        <w:t xml:space="preserve">  </w:t>
      </w:r>
    </w:p>
    <w:p w:rsidR="00DB02CD" w:rsidRDefault="00DB02CD" w:rsidP="00677F13">
      <w:pPr>
        <w:jc w:val="both"/>
      </w:pPr>
    </w:p>
    <w:p w:rsidR="00677F13" w:rsidRDefault="001477A1" w:rsidP="00677F13">
      <w:pPr>
        <w:jc w:val="both"/>
      </w:pPr>
      <w:r>
        <w:t>Furthermore</w:t>
      </w:r>
      <w:r w:rsidR="00677F13">
        <w:t xml:space="preserve">, the summertime capacity release trends underlying the 2013 IRP assumptions for fueling Plant Gaston and Plant Yates </w:t>
      </w:r>
      <w:r w:rsidR="00590187">
        <w:t>continue to be validated</w:t>
      </w:r>
      <w:r w:rsidR="00F63BE5">
        <w:t xml:space="preserve"> by</w:t>
      </w:r>
      <w:r w:rsidR="00676E17">
        <w:t xml:space="preserve"> the recent procureme</w:t>
      </w:r>
      <w:r w:rsidR="005A28E8">
        <w:t>nt of 40,000 MMBtu/day for the s</w:t>
      </w:r>
      <w:r w:rsidR="00676E17">
        <w:t>ummer of 2016</w:t>
      </w:r>
      <w:r w:rsidR="00F63BE5">
        <w:t xml:space="preserve">.  </w:t>
      </w:r>
      <w:r w:rsidR="003C54F1">
        <w:t xml:space="preserve">As </w:t>
      </w:r>
      <w:r>
        <w:t>noted in the prior report, t</w:t>
      </w:r>
      <w:r w:rsidR="00C83104">
        <w:t>he</w:t>
      </w:r>
      <w:r w:rsidR="0034717C">
        <w:t xml:space="preserve"> Company</w:t>
      </w:r>
      <w:r w:rsidR="003C54F1">
        <w:t xml:space="preserve"> also</w:t>
      </w:r>
      <w:r w:rsidR="0034717C">
        <w:t xml:space="preserve"> </w:t>
      </w:r>
      <w:r w:rsidR="00C83104">
        <w:t>acquired 75,000 Dth/day of delivered gas supply on a th</w:t>
      </w:r>
      <w:r w:rsidR="00676E17">
        <w:t>ree year summer deal</w:t>
      </w:r>
      <w:r w:rsidR="005A28E8">
        <w:t xml:space="preserve"> that continues for the s</w:t>
      </w:r>
      <w:r w:rsidR="00676E17">
        <w:t>ummers of 2016 and 2017</w:t>
      </w:r>
      <w:r w:rsidR="004F1756">
        <w:t xml:space="preserve"> </w:t>
      </w:r>
      <w:r>
        <w:t xml:space="preserve">and </w:t>
      </w:r>
      <w:r w:rsidR="004F1756">
        <w:t>2</w:t>
      </w:r>
      <w:r w:rsidR="00317F20">
        <w:t>0</w:t>
      </w:r>
      <w:r w:rsidR="00C83104">
        <w:t>0,000 Dth/day of capacit</w:t>
      </w:r>
      <w:r w:rsidR="005A28E8">
        <w:t>y release for the</w:t>
      </w:r>
      <w:r w:rsidR="00317F20">
        <w:t xml:space="preserve"> summer of </w:t>
      </w:r>
      <w:r w:rsidR="00C83104">
        <w:t xml:space="preserve">2015.  Given the Company’s </w:t>
      </w:r>
      <w:r w:rsidR="00677F13">
        <w:t>success in securing released summertime capacity, coupled with increased availability of summertime FT due to Marcellus Shale development, the Company is confident that released capacity will be available during the summer to reliably fuel Plants Gaston and Yates</w:t>
      </w:r>
      <w:r w:rsidR="00284FCE">
        <w:t xml:space="preserve"> as needed</w:t>
      </w:r>
      <w:r w:rsidR="00677F13">
        <w:t>.</w:t>
      </w:r>
      <w:r w:rsidR="005A28E8">
        <w:t xml:space="preserve">  </w:t>
      </w:r>
    </w:p>
    <w:p w:rsidR="00DB7BDB" w:rsidRDefault="00DB7BDB" w:rsidP="00677F13">
      <w:pPr>
        <w:jc w:val="both"/>
      </w:pPr>
    </w:p>
    <w:sectPr w:rsidR="00DB7BDB" w:rsidSect="008937E2">
      <w:headerReference w:type="even" r:id="rId17"/>
      <w:headerReference w:type="default" r:id="rId18"/>
      <w:footerReference w:type="even" r:id="rId19"/>
      <w:footerReference w:type="default" r:id="rId20"/>
      <w:headerReference w:type="first" r:id="rId21"/>
      <w:footerReference w:type="first" r:id="rId2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17BC" w:rsidRDefault="005217BC" w:rsidP="006E70C4">
      <w:r>
        <w:separator/>
      </w:r>
    </w:p>
  </w:endnote>
  <w:endnote w:type="continuationSeparator" w:id="0">
    <w:p w:rsidR="005217BC" w:rsidRDefault="005217BC" w:rsidP="006E7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5CC" w:rsidRDefault="00F565C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0401442"/>
      <w:docPartObj>
        <w:docPartGallery w:val="Page Numbers (Bottom of Page)"/>
        <w:docPartUnique/>
      </w:docPartObj>
    </w:sdtPr>
    <w:sdtEndPr>
      <w:rPr>
        <w:noProof/>
      </w:rPr>
    </w:sdtEndPr>
    <w:sdtContent>
      <w:p w:rsidR="006525A6" w:rsidRDefault="00EB784D">
        <w:pPr>
          <w:pStyle w:val="Footer"/>
          <w:jc w:val="right"/>
        </w:pPr>
        <w:r>
          <w:fldChar w:fldCharType="begin"/>
        </w:r>
        <w:r w:rsidR="00271B68">
          <w:instrText xml:space="preserve"> PAGE   \* MERGEFORMAT </w:instrText>
        </w:r>
        <w:r>
          <w:fldChar w:fldCharType="separate"/>
        </w:r>
        <w:r w:rsidR="00F565CC">
          <w:rPr>
            <w:noProof/>
          </w:rPr>
          <w:t>1</w:t>
        </w:r>
        <w:r>
          <w:rPr>
            <w:noProof/>
          </w:rPr>
          <w:fldChar w:fldCharType="end"/>
        </w:r>
      </w:p>
    </w:sdtContent>
  </w:sdt>
  <w:p w:rsidR="006525A6" w:rsidRDefault="006525A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5CC" w:rsidRDefault="00F565C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17BC" w:rsidRDefault="005217BC" w:rsidP="006E70C4">
      <w:r>
        <w:separator/>
      </w:r>
    </w:p>
  </w:footnote>
  <w:footnote w:type="continuationSeparator" w:id="0">
    <w:p w:rsidR="005217BC" w:rsidRDefault="005217BC" w:rsidP="006E70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5CC" w:rsidRDefault="00F565C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25A6" w:rsidRPr="003C4AF5" w:rsidRDefault="006F2B8D" w:rsidP="001A55B1">
    <w:pPr>
      <w:pStyle w:val="Header"/>
      <w:pBdr>
        <w:bottom w:val="thickThinSmallGap" w:sz="24" w:space="1" w:color="622423" w:themeColor="accent2" w:themeShade="7F"/>
      </w:pBdr>
      <w:jc w:val="center"/>
      <w:rPr>
        <w:rFonts w:asciiTheme="majorHAnsi" w:eastAsiaTheme="majorEastAsia" w:hAnsiTheme="majorHAnsi" w:cstheme="majorBidi"/>
        <w:b/>
        <w:sz w:val="32"/>
        <w:szCs w:val="32"/>
      </w:rPr>
    </w:pPr>
    <w:r w:rsidRPr="003C4AF5">
      <w:rPr>
        <w:rFonts w:asciiTheme="majorHAnsi" w:eastAsiaTheme="majorEastAsia" w:hAnsiTheme="majorHAnsi" w:cstheme="majorBidi"/>
        <w:b/>
        <w:sz w:val="32"/>
        <w:szCs w:val="32"/>
      </w:rPr>
      <w:t>PUBLIC DISCLOSURE</w:t>
    </w:r>
  </w:p>
  <w:p w:rsidR="006525A6" w:rsidRDefault="006525A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5CC" w:rsidRDefault="00F565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D67F76"/>
    <w:multiLevelType w:val="hybridMultilevel"/>
    <w:tmpl w:val="D5D865E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24A87FCF"/>
    <w:multiLevelType w:val="hybridMultilevel"/>
    <w:tmpl w:val="06FA299C"/>
    <w:lvl w:ilvl="0" w:tplc="B36239C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73E7369C"/>
    <w:multiLevelType w:val="hybridMultilevel"/>
    <w:tmpl w:val="4852E006"/>
    <w:lvl w:ilvl="0" w:tplc="BB86898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044D"/>
    <w:rsid w:val="000068E6"/>
    <w:rsid w:val="00007B2D"/>
    <w:rsid w:val="00022B03"/>
    <w:rsid w:val="00023D0B"/>
    <w:rsid w:val="00027D4C"/>
    <w:rsid w:val="0003023C"/>
    <w:rsid w:val="00030A9A"/>
    <w:rsid w:val="000454FC"/>
    <w:rsid w:val="00047E48"/>
    <w:rsid w:val="000606BF"/>
    <w:rsid w:val="00060A6C"/>
    <w:rsid w:val="00063F0F"/>
    <w:rsid w:val="0007420D"/>
    <w:rsid w:val="00087508"/>
    <w:rsid w:val="00087727"/>
    <w:rsid w:val="00090ACB"/>
    <w:rsid w:val="000A707C"/>
    <w:rsid w:val="000A7BF8"/>
    <w:rsid w:val="000A7E08"/>
    <w:rsid w:val="000C204D"/>
    <w:rsid w:val="000C2578"/>
    <w:rsid w:val="000D6284"/>
    <w:rsid w:val="000E28A1"/>
    <w:rsid w:val="0010021F"/>
    <w:rsid w:val="0011343F"/>
    <w:rsid w:val="00122626"/>
    <w:rsid w:val="00130CDB"/>
    <w:rsid w:val="00144B47"/>
    <w:rsid w:val="001477A1"/>
    <w:rsid w:val="00150DCC"/>
    <w:rsid w:val="00156DD3"/>
    <w:rsid w:val="0016611B"/>
    <w:rsid w:val="0017588B"/>
    <w:rsid w:val="0018444B"/>
    <w:rsid w:val="001873AF"/>
    <w:rsid w:val="001A55B1"/>
    <w:rsid w:val="001B0552"/>
    <w:rsid w:val="001C630F"/>
    <w:rsid w:val="001C793A"/>
    <w:rsid w:val="001D7F73"/>
    <w:rsid w:val="001E3A1E"/>
    <w:rsid w:val="002029FF"/>
    <w:rsid w:val="0020632E"/>
    <w:rsid w:val="002127EE"/>
    <w:rsid w:val="00214122"/>
    <w:rsid w:val="002269E6"/>
    <w:rsid w:val="002313CC"/>
    <w:rsid w:val="002414A2"/>
    <w:rsid w:val="00243607"/>
    <w:rsid w:val="00252160"/>
    <w:rsid w:val="00255637"/>
    <w:rsid w:val="002668D7"/>
    <w:rsid w:val="00271B68"/>
    <w:rsid w:val="00274DDF"/>
    <w:rsid w:val="00284FCE"/>
    <w:rsid w:val="00291FC8"/>
    <w:rsid w:val="002921AA"/>
    <w:rsid w:val="002C1214"/>
    <w:rsid w:val="002C56D4"/>
    <w:rsid w:val="002D44C0"/>
    <w:rsid w:val="002E5675"/>
    <w:rsid w:val="002F6FDE"/>
    <w:rsid w:val="00317F20"/>
    <w:rsid w:val="00324973"/>
    <w:rsid w:val="00324C28"/>
    <w:rsid w:val="00325342"/>
    <w:rsid w:val="003278F2"/>
    <w:rsid w:val="00337032"/>
    <w:rsid w:val="003409AF"/>
    <w:rsid w:val="00343C69"/>
    <w:rsid w:val="00345FF9"/>
    <w:rsid w:val="0034717C"/>
    <w:rsid w:val="00363BE3"/>
    <w:rsid w:val="00366FCB"/>
    <w:rsid w:val="0037272C"/>
    <w:rsid w:val="00374F79"/>
    <w:rsid w:val="00380C7B"/>
    <w:rsid w:val="00383975"/>
    <w:rsid w:val="00383E2A"/>
    <w:rsid w:val="0039550E"/>
    <w:rsid w:val="003A42FB"/>
    <w:rsid w:val="003B1C97"/>
    <w:rsid w:val="003B2629"/>
    <w:rsid w:val="003C4AF5"/>
    <w:rsid w:val="003C54F1"/>
    <w:rsid w:val="003D5A60"/>
    <w:rsid w:val="003E7555"/>
    <w:rsid w:val="003F1275"/>
    <w:rsid w:val="003F3D15"/>
    <w:rsid w:val="003F4B6B"/>
    <w:rsid w:val="003F69E2"/>
    <w:rsid w:val="00402768"/>
    <w:rsid w:val="00406DB9"/>
    <w:rsid w:val="00407CC8"/>
    <w:rsid w:val="00433390"/>
    <w:rsid w:val="004375BC"/>
    <w:rsid w:val="00437BB9"/>
    <w:rsid w:val="0046112D"/>
    <w:rsid w:val="00467F3D"/>
    <w:rsid w:val="0048133F"/>
    <w:rsid w:val="00484C3D"/>
    <w:rsid w:val="00490C39"/>
    <w:rsid w:val="004A77BC"/>
    <w:rsid w:val="004B3E48"/>
    <w:rsid w:val="004C6625"/>
    <w:rsid w:val="004E797C"/>
    <w:rsid w:val="004F1756"/>
    <w:rsid w:val="004F1FAF"/>
    <w:rsid w:val="004F2164"/>
    <w:rsid w:val="00521245"/>
    <w:rsid w:val="005217BC"/>
    <w:rsid w:val="00523300"/>
    <w:rsid w:val="005320D7"/>
    <w:rsid w:val="0053345B"/>
    <w:rsid w:val="00533C40"/>
    <w:rsid w:val="00537D63"/>
    <w:rsid w:val="00540F56"/>
    <w:rsid w:val="00552947"/>
    <w:rsid w:val="005643D4"/>
    <w:rsid w:val="005649D0"/>
    <w:rsid w:val="00576BFC"/>
    <w:rsid w:val="00582E33"/>
    <w:rsid w:val="00590187"/>
    <w:rsid w:val="00593D2A"/>
    <w:rsid w:val="005A28E8"/>
    <w:rsid w:val="005A3E7C"/>
    <w:rsid w:val="005B3B82"/>
    <w:rsid w:val="005B6C70"/>
    <w:rsid w:val="005B7D99"/>
    <w:rsid w:val="005C2CA9"/>
    <w:rsid w:val="005C2D13"/>
    <w:rsid w:val="005E0E83"/>
    <w:rsid w:val="005F0364"/>
    <w:rsid w:val="005F0FA9"/>
    <w:rsid w:val="005F2430"/>
    <w:rsid w:val="005F7577"/>
    <w:rsid w:val="0060208B"/>
    <w:rsid w:val="00610666"/>
    <w:rsid w:val="00612BB5"/>
    <w:rsid w:val="006338E9"/>
    <w:rsid w:val="00637E7B"/>
    <w:rsid w:val="006525A6"/>
    <w:rsid w:val="00656385"/>
    <w:rsid w:val="00676E17"/>
    <w:rsid w:val="0067788D"/>
    <w:rsid w:val="00677F13"/>
    <w:rsid w:val="00697134"/>
    <w:rsid w:val="006A265D"/>
    <w:rsid w:val="006A5127"/>
    <w:rsid w:val="006A5EFD"/>
    <w:rsid w:val="006C058C"/>
    <w:rsid w:val="006C3863"/>
    <w:rsid w:val="006D768E"/>
    <w:rsid w:val="006E5DDD"/>
    <w:rsid w:val="006E70C4"/>
    <w:rsid w:val="006F2B8D"/>
    <w:rsid w:val="0070213B"/>
    <w:rsid w:val="00704DDC"/>
    <w:rsid w:val="007150B5"/>
    <w:rsid w:val="0073371B"/>
    <w:rsid w:val="0073769C"/>
    <w:rsid w:val="007441D4"/>
    <w:rsid w:val="0077148E"/>
    <w:rsid w:val="00773538"/>
    <w:rsid w:val="00780622"/>
    <w:rsid w:val="007812D3"/>
    <w:rsid w:val="00786E3F"/>
    <w:rsid w:val="007A5CA5"/>
    <w:rsid w:val="007B2F46"/>
    <w:rsid w:val="007B3282"/>
    <w:rsid w:val="007B42D4"/>
    <w:rsid w:val="007B5DAF"/>
    <w:rsid w:val="007E44B1"/>
    <w:rsid w:val="007E60A1"/>
    <w:rsid w:val="007F1D46"/>
    <w:rsid w:val="007F1ED4"/>
    <w:rsid w:val="00800BA8"/>
    <w:rsid w:val="00800DB9"/>
    <w:rsid w:val="008036B5"/>
    <w:rsid w:val="008215E9"/>
    <w:rsid w:val="00826E62"/>
    <w:rsid w:val="00833DC8"/>
    <w:rsid w:val="00836C2E"/>
    <w:rsid w:val="00852683"/>
    <w:rsid w:val="00867EA0"/>
    <w:rsid w:val="008778FA"/>
    <w:rsid w:val="0088050D"/>
    <w:rsid w:val="00883264"/>
    <w:rsid w:val="00885456"/>
    <w:rsid w:val="0088609C"/>
    <w:rsid w:val="008937E2"/>
    <w:rsid w:val="008A1443"/>
    <w:rsid w:val="008A1A06"/>
    <w:rsid w:val="008B5674"/>
    <w:rsid w:val="008C5172"/>
    <w:rsid w:val="008D1880"/>
    <w:rsid w:val="00900FF2"/>
    <w:rsid w:val="009049A3"/>
    <w:rsid w:val="00927E01"/>
    <w:rsid w:val="009326D8"/>
    <w:rsid w:val="00940455"/>
    <w:rsid w:val="0094384A"/>
    <w:rsid w:val="0097044D"/>
    <w:rsid w:val="009747DC"/>
    <w:rsid w:val="00980668"/>
    <w:rsid w:val="009A2588"/>
    <w:rsid w:val="009B3951"/>
    <w:rsid w:val="009B6985"/>
    <w:rsid w:val="009C2DC6"/>
    <w:rsid w:val="009D26B0"/>
    <w:rsid w:val="009E3CED"/>
    <w:rsid w:val="009F03E4"/>
    <w:rsid w:val="00A053E2"/>
    <w:rsid w:val="00A15665"/>
    <w:rsid w:val="00A30B86"/>
    <w:rsid w:val="00A32787"/>
    <w:rsid w:val="00A5709C"/>
    <w:rsid w:val="00A64613"/>
    <w:rsid w:val="00A76A05"/>
    <w:rsid w:val="00A86CD9"/>
    <w:rsid w:val="00A92DBA"/>
    <w:rsid w:val="00AA462D"/>
    <w:rsid w:val="00AE3016"/>
    <w:rsid w:val="00AE3345"/>
    <w:rsid w:val="00B038D9"/>
    <w:rsid w:val="00B05D81"/>
    <w:rsid w:val="00B07B3E"/>
    <w:rsid w:val="00B13441"/>
    <w:rsid w:val="00B165DA"/>
    <w:rsid w:val="00B20562"/>
    <w:rsid w:val="00B32EE8"/>
    <w:rsid w:val="00B34E9B"/>
    <w:rsid w:val="00B670AE"/>
    <w:rsid w:val="00B907BA"/>
    <w:rsid w:val="00B916B7"/>
    <w:rsid w:val="00B91D48"/>
    <w:rsid w:val="00B9758C"/>
    <w:rsid w:val="00BA6CE4"/>
    <w:rsid w:val="00BC09DE"/>
    <w:rsid w:val="00BC5193"/>
    <w:rsid w:val="00BD12F3"/>
    <w:rsid w:val="00BE7027"/>
    <w:rsid w:val="00C07485"/>
    <w:rsid w:val="00C109D2"/>
    <w:rsid w:val="00C12643"/>
    <w:rsid w:val="00C33603"/>
    <w:rsid w:val="00C34667"/>
    <w:rsid w:val="00C35A01"/>
    <w:rsid w:val="00C47877"/>
    <w:rsid w:val="00C71F9E"/>
    <w:rsid w:val="00C772FF"/>
    <w:rsid w:val="00C80BFD"/>
    <w:rsid w:val="00C83104"/>
    <w:rsid w:val="00C9660C"/>
    <w:rsid w:val="00CA2485"/>
    <w:rsid w:val="00CA403B"/>
    <w:rsid w:val="00CA6F06"/>
    <w:rsid w:val="00CA71CC"/>
    <w:rsid w:val="00CC1896"/>
    <w:rsid w:val="00CC59E7"/>
    <w:rsid w:val="00CC6E15"/>
    <w:rsid w:val="00CD0E36"/>
    <w:rsid w:val="00CD6AC6"/>
    <w:rsid w:val="00CF63DE"/>
    <w:rsid w:val="00D02EEF"/>
    <w:rsid w:val="00D1519F"/>
    <w:rsid w:val="00D35C00"/>
    <w:rsid w:val="00D469C8"/>
    <w:rsid w:val="00D55DB0"/>
    <w:rsid w:val="00D607F8"/>
    <w:rsid w:val="00D659AA"/>
    <w:rsid w:val="00D75D28"/>
    <w:rsid w:val="00D80731"/>
    <w:rsid w:val="00D84684"/>
    <w:rsid w:val="00DA4A10"/>
    <w:rsid w:val="00DB02CD"/>
    <w:rsid w:val="00DB5D8A"/>
    <w:rsid w:val="00DB7BDB"/>
    <w:rsid w:val="00DC6284"/>
    <w:rsid w:val="00DD06A2"/>
    <w:rsid w:val="00DD2321"/>
    <w:rsid w:val="00DD64AF"/>
    <w:rsid w:val="00DE6A30"/>
    <w:rsid w:val="00DF0814"/>
    <w:rsid w:val="00DF6D6B"/>
    <w:rsid w:val="00DF7094"/>
    <w:rsid w:val="00E011FA"/>
    <w:rsid w:val="00E224A0"/>
    <w:rsid w:val="00E36849"/>
    <w:rsid w:val="00E418DB"/>
    <w:rsid w:val="00E447BC"/>
    <w:rsid w:val="00E52EDD"/>
    <w:rsid w:val="00E55257"/>
    <w:rsid w:val="00E72DBF"/>
    <w:rsid w:val="00E809BC"/>
    <w:rsid w:val="00E82654"/>
    <w:rsid w:val="00EA4780"/>
    <w:rsid w:val="00EB07FC"/>
    <w:rsid w:val="00EB729D"/>
    <w:rsid w:val="00EB784D"/>
    <w:rsid w:val="00EF0702"/>
    <w:rsid w:val="00F04BB8"/>
    <w:rsid w:val="00F11DC0"/>
    <w:rsid w:val="00F12CE4"/>
    <w:rsid w:val="00F21496"/>
    <w:rsid w:val="00F24FB2"/>
    <w:rsid w:val="00F565CC"/>
    <w:rsid w:val="00F61CF5"/>
    <w:rsid w:val="00F63BE5"/>
    <w:rsid w:val="00F70AD3"/>
    <w:rsid w:val="00F72161"/>
    <w:rsid w:val="00FD6868"/>
    <w:rsid w:val="00FD7F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7044D"/>
    <w:pPr>
      <w:ind w:left="720"/>
      <w:contextualSpacing/>
    </w:pPr>
  </w:style>
  <w:style w:type="paragraph" w:styleId="BalloonText">
    <w:name w:val="Balloon Text"/>
    <w:basedOn w:val="Normal"/>
    <w:link w:val="BalloonTextChar"/>
    <w:rsid w:val="00CC59E7"/>
    <w:rPr>
      <w:rFonts w:ascii="Tahoma" w:hAnsi="Tahoma" w:cs="Tahoma"/>
      <w:sz w:val="16"/>
      <w:szCs w:val="16"/>
    </w:rPr>
  </w:style>
  <w:style w:type="character" w:customStyle="1" w:styleId="BalloonTextChar">
    <w:name w:val="Balloon Text Char"/>
    <w:basedOn w:val="DefaultParagraphFont"/>
    <w:link w:val="BalloonText"/>
    <w:rsid w:val="00CC59E7"/>
    <w:rPr>
      <w:rFonts w:ascii="Tahoma" w:hAnsi="Tahoma" w:cs="Tahoma"/>
      <w:sz w:val="16"/>
      <w:szCs w:val="16"/>
    </w:rPr>
  </w:style>
  <w:style w:type="paragraph" w:styleId="Header">
    <w:name w:val="header"/>
    <w:basedOn w:val="Normal"/>
    <w:link w:val="HeaderChar"/>
    <w:uiPriority w:val="99"/>
    <w:rsid w:val="006E70C4"/>
    <w:pPr>
      <w:tabs>
        <w:tab w:val="center" w:pos="4680"/>
        <w:tab w:val="right" w:pos="9360"/>
      </w:tabs>
    </w:pPr>
  </w:style>
  <w:style w:type="character" w:customStyle="1" w:styleId="HeaderChar">
    <w:name w:val="Header Char"/>
    <w:basedOn w:val="DefaultParagraphFont"/>
    <w:link w:val="Header"/>
    <w:uiPriority w:val="99"/>
    <w:rsid w:val="006E70C4"/>
    <w:rPr>
      <w:sz w:val="24"/>
      <w:szCs w:val="24"/>
    </w:rPr>
  </w:style>
  <w:style w:type="paragraph" w:styleId="Footer">
    <w:name w:val="footer"/>
    <w:basedOn w:val="Normal"/>
    <w:link w:val="FooterChar"/>
    <w:uiPriority w:val="99"/>
    <w:rsid w:val="006E70C4"/>
    <w:pPr>
      <w:tabs>
        <w:tab w:val="center" w:pos="4680"/>
        <w:tab w:val="right" w:pos="9360"/>
      </w:tabs>
    </w:pPr>
  </w:style>
  <w:style w:type="character" w:customStyle="1" w:styleId="FooterChar">
    <w:name w:val="Footer Char"/>
    <w:basedOn w:val="DefaultParagraphFont"/>
    <w:link w:val="Footer"/>
    <w:uiPriority w:val="99"/>
    <w:rsid w:val="006E70C4"/>
    <w:rPr>
      <w:sz w:val="24"/>
      <w:szCs w:val="24"/>
    </w:rPr>
  </w:style>
  <w:style w:type="character" w:styleId="CommentReference">
    <w:name w:val="annotation reference"/>
    <w:basedOn w:val="DefaultParagraphFont"/>
    <w:rsid w:val="00BC5193"/>
    <w:rPr>
      <w:sz w:val="16"/>
      <w:szCs w:val="16"/>
    </w:rPr>
  </w:style>
  <w:style w:type="paragraph" w:styleId="CommentText">
    <w:name w:val="annotation text"/>
    <w:basedOn w:val="Normal"/>
    <w:link w:val="CommentTextChar"/>
    <w:rsid w:val="00BC5193"/>
    <w:rPr>
      <w:sz w:val="20"/>
      <w:szCs w:val="20"/>
    </w:rPr>
  </w:style>
  <w:style w:type="character" w:customStyle="1" w:styleId="CommentTextChar">
    <w:name w:val="Comment Text Char"/>
    <w:basedOn w:val="DefaultParagraphFont"/>
    <w:link w:val="CommentText"/>
    <w:rsid w:val="00BC5193"/>
  </w:style>
  <w:style w:type="paragraph" w:styleId="CommentSubject">
    <w:name w:val="annotation subject"/>
    <w:basedOn w:val="CommentText"/>
    <w:next w:val="CommentText"/>
    <w:link w:val="CommentSubjectChar"/>
    <w:rsid w:val="00BC5193"/>
    <w:rPr>
      <w:b/>
      <w:bCs/>
    </w:rPr>
  </w:style>
  <w:style w:type="character" w:customStyle="1" w:styleId="CommentSubjectChar">
    <w:name w:val="Comment Subject Char"/>
    <w:basedOn w:val="CommentTextChar"/>
    <w:link w:val="CommentSubject"/>
    <w:rsid w:val="00BC5193"/>
    <w:rPr>
      <w:b/>
      <w:bCs/>
    </w:rPr>
  </w:style>
  <w:style w:type="paragraph" w:styleId="Caption">
    <w:name w:val="caption"/>
    <w:basedOn w:val="Normal"/>
    <w:next w:val="Normal"/>
    <w:unhideWhenUsed/>
    <w:qFormat/>
    <w:rsid w:val="00A92DBA"/>
    <w:pPr>
      <w:spacing w:after="200"/>
    </w:pPr>
    <w:rPr>
      <w:b/>
      <w:bCs/>
      <w:color w:val="4F81BD" w:themeColor="accent1"/>
      <w:sz w:val="18"/>
      <w:szCs w:val="18"/>
    </w:rPr>
  </w:style>
  <w:style w:type="paragraph" w:styleId="NormalWeb">
    <w:name w:val="Normal (Web)"/>
    <w:basedOn w:val="Normal"/>
    <w:uiPriority w:val="99"/>
    <w:unhideWhenUsed/>
    <w:rsid w:val="00A92DBA"/>
    <w:pPr>
      <w:spacing w:before="100" w:beforeAutospacing="1" w:after="100" w:afterAutospacing="1"/>
    </w:pPr>
    <w:rPr>
      <w:rFonts w:eastAsiaTheme="minorEastAsia"/>
    </w:rPr>
  </w:style>
  <w:style w:type="character" w:customStyle="1" w:styleId="zzmpTrailerItem">
    <w:name w:val="zzmpTrailerItem"/>
    <w:basedOn w:val="DefaultParagraphFont"/>
    <w:rsid w:val="00E809BC"/>
    <w:rPr>
      <w:rFonts w:ascii="Times New Roman" w:hAnsi="Times New Roman" w:cs="Times New Roman"/>
      <w:dstrike w:val="0"/>
      <w:noProof/>
      <w:color w:val="auto"/>
      <w:spacing w:val="0"/>
      <w:position w:val="0"/>
      <w:sz w:val="16"/>
      <w:szCs w:val="16"/>
      <w:u w:val="none"/>
      <w:effect w:val="none"/>
      <w:vertAlign w:val="baseli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7044D"/>
    <w:pPr>
      <w:ind w:left="720"/>
      <w:contextualSpacing/>
    </w:pPr>
  </w:style>
  <w:style w:type="paragraph" w:styleId="BalloonText">
    <w:name w:val="Balloon Text"/>
    <w:basedOn w:val="Normal"/>
    <w:link w:val="BalloonTextChar"/>
    <w:rsid w:val="00CC59E7"/>
    <w:rPr>
      <w:rFonts w:ascii="Tahoma" w:hAnsi="Tahoma" w:cs="Tahoma"/>
      <w:sz w:val="16"/>
      <w:szCs w:val="16"/>
    </w:rPr>
  </w:style>
  <w:style w:type="character" w:customStyle="1" w:styleId="BalloonTextChar">
    <w:name w:val="Balloon Text Char"/>
    <w:basedOn w:val="DefaultParagraphFont"/>
    <w:link w:val="BalloonText"/>
    <w:rsid w:val="00CC59E7"/>
    <w:rPr>
      <w:rFonts w:ascii="Tahoma" w:hAnsi="Tahoma" w:cs="Tahoma"/>
      <w:sz w:val="16"/>
      <w:szCs w:val="16"/>
    </w:rPr>
  </w:style>
  <w:style w:type="paragraph" w:styleId="Header">
    <w:name w:val="header"/>
    <w:basedOn w:val="Normal"/>
    <w:link w:val="HeaderChar"/>
    <w:uiPriority w:val="99"/>
    <w:rsid w:val="006E70C4"/>
    <w:pPr>
      <w:tabs>
        <w:tab w:val="center" w:pos="4680"/>
        <w:tab w:val="right" w:pos="9360"/>
      </w:tabs>
    </w:pPr>
  </w:style>
  <w:style w:type="character" w:customStyle="1" w:styleId="HeaderChar">
    <w:name w:val="Header Char"/>
    <w:basedOn w:val="DefaultParagraphFont"/>
    <w:link w:val="Header"/>
    <w:uiPriority w:val="99"/>
    <w:rsid w:val="006E70C4"/>
    <w:rPr>
      <w:sz w:val="24"/>
      <w:szCs w:val="24"/>
    </w:rPr>
  </w:style>
  <w:style w:type="paragraph" w:styleId="Footer">
    <w:name w:val="footer"/>
    <w:basedOn w:val="Normal"/>
    <w:link w:val="FooterChar"/>
    <w:uiPriority w:val="99"/>
    <w:rsid w:val="006E70C4"/>
    <w:pPr>
      <w:tabs>
        <w:tab w:val="center" w:pos="4680"/>
        <w:tab w:val="right" w:pos="9360"/>
      </w:tabs>
    </w:pPr>
  </w:style>
  <w:style w:type="character" w:customStyle="1" w:styleId="FooterChar">
    <w:name w:val="Footer Char"/>
    <w:basedOn w:val="DefaultParagraphFont"/>
    <w:link w:val="Footer"/>
    <w:uiPriority w:val="99"/>
    <w:rsid w:val="006E70C4"/>
    <w:rPr>
      <w:sz w:val="24"/>
      <w:szCs w:val="24"/>
    </w:rPr>
  </w:style>
  <w:style w:type="character" w:styleId="CommentReference">
    <w:name w:val="annotation reference"/>
    <w:basedOn w:val="DefaultParagraphFont"/>
    <w:rsid w:val="00BC5193"/>
    <w:rPr>
      <w:sz w:val="16"/>
      <w:szCs w:val="16"/>
    </w:rPr>
  </w:style>
  <w:style w:type="paragraph" w:styleId="CommentText">
    <w:name w:val="annotation text"/>
    <w:basedOn w:val="Normal"/>
    <w:link w:val="CommentTextChar"/>
    <w:rsid w:val="00BC5193"/>
    <w:rPr>
      <w:sz w:val="20"/>
      <w:szCs w:val="20"/>
    </w:rPr>
  </w:style>
  <w:style w:type="character" w:customStyle="1" w:styleId="CommentTextChar">
    <w:name w:val="Comment Text Char"/>
    <w:basedOn w:val="DefaultParagraphFont"/>
    <w:link w:val="CommentText"/>
    <w:rsid w:val="00BC5193"/>
  </w:style>
  <w:style w:type="paragraph" w:styleId="CommentSubject">
    <w:name w:val="annotation subject"/>
    <w:basedOn w:val="CommentText"/>
    <w:next w:val="CommentText"/>
    <w:link w:val="CommentSubjectChar"/>
    <w:rsid w:val="00BC5193"/>
    <w:rPr>
      <w:b/>
      <w:bCs/>
    </w:rPr>
  </w:style>
  <w:style w:type="character" w:customStyle="1" w:styleId="CommentSubjectChar">
    <w:name w:val="Comment Subject Char"/>
    <w:basedOn w:val="CommentTextChar"/>
    <w:link w:val="CommentSubject"/>
    <w:rsid w:val="00BC5193"/>
    <w:rPr>
      <w:b/>
      <w:bCs/>
    </w:rPr>
  </w:style>
  <w:style w:type="paragraph" w:styleId="Caption">
    <w:name w:val="caption"/>
    <w:basedOn w:val="Normal"/>
    <w:next w:val="Normal"/>
    <w:unhideWhenUsed/>
    <w:qFormat/>
    <w:rsid w:val="00A92DBA"/>
    <w:pPr>
      <w:spacing w:after="200"/>
    </w:pPr>
    <w:rPr>
      <w:b/>
      <w:bCs/>
      <w:color w:val="4F81BD" w:themeColor="accent1"/>
      <w:sz w:val="18"/>
      <w:szCs w:val="18"/>
    </w:rPr>
  </w:style>
  <w:style w:type="paragraph" w:styleId="NormalWeb">
    <w:name w:val="Normal (Web)"/>
    <w:basedOn w:val="Normal"/>
    <w:uiPriority w:val="99"/>
    <w:unhideWhenUsed/>
    <w:rsid w:val="00A92DBA"/>
    <w:pPr>
      <w:spacing w:before="100" w:beforeAutospacing="1" w:after="100" w:afterAutospacing="1"/>
    </w:pPr>
    <w:rPr>
      <w:rFonts w:eastAsiaTheme="minorEastAsia"/>
    </w:rPr>
  </w:style>
  <w:style w:type="character" w:customStyle="1" w:styleId="zzmpTrailerItem">
    <w:name w:val="zzmpTrailerItem"/>
    <w:basedOn w:val="DefaultParagraphFont"/>
    <w:rsid w:val="00E809BC"/>
    <w:rPr>
      <w:rFonts w:ascii="Times New Roman" w:hAnsi="Times New Roman" w:cs="Times New Roman"/>
      <w:dstrike w:val="0"/>
      <w:noProof/>
      <w:color w:val="auto"/>
      <w:spacing w:val="0"/>
      <w:position w:val="0"/>
      <w:sz w:val="16"/>
      <w:szCs w:val="16"/>
      <w:u w:val="none"/>
      <w:effect w:val="none"/>
      <w:vertAlign w:val="base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1000702">
      <w:bodyDiv w:val="1"/>
      <w:marLeft w:val="0"/>
      <w:marRight w:val="0"/>
      <w:marTop w:val="0"/>
      <w:marBottom w:val="0"/>
      <w:divBdr>
        <w:top w:val="none" w:sz="0" w:space="0" w:color="auto"/>
        <w:left w:val="none" w:sz="0" w:space="0" w:color="auto"/>
        <w:bottom w:val="none" w:sz="0" w:space="0" w:color="auto"/>
        <w:right w:val="none" w:sz="0" w:space="0" w:color="auto"/>
      </w:divBdr>
    </w:div>
    <w:div w:id="2025015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5D7BFD-B91C-40B0-8CF8-75CD96DC1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1405</Words>
  <Characters>7458</Characters>
  <Application>Microsoft Office Word</Application>
  <DocSecurity>0</DocSecurity>
  <Lines>62</Lines>
  <Paragraphs>17</Paragraphs>
  <ScaleCrop>false</ScaleCrop>
  <LinksUpToDate>false</LinksUpToDate>
  <CharactersWithSpaces>8846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2015-10-14T15:04:00Z</dcterms:created>
  <dcterms:modified xsi:type="dcterms:W3CDTF">2015-10-14T15:04:00Z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